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3F64B256" w:rsidR="0075069C" w:rsidRPr="00572BF7" w:rsidRDefault="0075069C" w:rsidP="0037575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6</w:t>
      </w:r>
      <w:r w:rsidR="00310050">
        <w:rPr>
          <w:rFonts w:eastAsia="宋体"/>
          <w:lang w:eastAsia="zh-CN"/>
        </w:rPr>
        <w:t>bis-e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sidR="00310050">
        <w:rPr>
          <w:rFonts w:eastAsia="宋体" w:hint="eastAsia"/>
          <w:lang w:eastAsia="zh-CN"/>
        </w:rPr>
        <w:t xml:space="preserve">            </w:t>
      </w:r>
      <w:r w:rsidR="005D3DB0">
        <w:rPr>
          <w:rFonts w:eastAsia="宋体"/>
          <w:lang w:eastAsia="zh-CN"/>
        </w:rPr>
        <w:t xml:space="preserve"> </w:t>
      </w:r>
      <w:r w:rsidR="00310050">
        <w:rPr>
          <w:rFonts w:eastAsia="宋体" w:hint="eastAsia"/>
          <w:lang w:eastAsia="zh-CN"/>
        </w:rPr>
        <w:t xml:space="preserve">  </w:t>
      </w:r>
      <w:r w:rsidR="00AE16DB">
        <w:rPr>
          <w:rFonts w:eastAsia="宋体"/>
          <w:lang w:eastAsia="zh-CN"/>
        </w:rPr>
        <w:t xml:space="preserve"> </w:t>
      </w:r>
      <w:r w:rsidR="0019569D" w:rsidRPr="0019569D">
        <w:t>R4-2305457</w:t>
      </w:r>
    </w:p>
    <w:p w14:paraId="61191C36" w14:textId="4F5470A8" w:rsidR="00675C27" w:rsidRPr="00444A16" w:rsidRDefault="0019569D" w:rsidP="0037575E">
      <w:pPr>
        <w:pStyle w:val="afb"/>
        <w:jc w:val="both"/>
        <w:rPr>
          <w:rFonts w:eastAsia="宋体"/>
          <w:lang w:eastAsia="zh-CN"/>
        </w:rPr>
      </w:pPr>
      <w:r>
        <w:rPr>
          <w:rFonts w:eastAsia="宋体"/>
          <w:lang w:eastAsia="zh-CN"/>
        </w:rPr>
        <w:t xml:space="preserve">Online, </w:t>
      </w:r>
      <w:r w:rsidR="00310050" w:rsidRPr="00310050">
        <w:rPr>
          <w:rFonts w:eastAsia="宋体"/>
          <w:lang w:eastAsia="zh-CN"/>
        </w:rPr>
        <w:t>April 17 –</w:t>
      </w:r>
      <w:r>
        <w:rPr>
          <w:rFonts w:eastAsia="宋体"/>
          <w:lang w:eastAsia="zh-CN"/>
        </w:rPr>
        <w:t xml:space="preserve"> April</w:t>
      </w:r>
      <w:bookmarkStart w:id="2" w:name="_GoBack"/>
      <w:bookmarkEnd w:id="2"/>
      <w:r w:rsidR="00310050" w:rsidRPr="00310050">
        <w:rPr>
          <w:rFonts w:eastAsia="宋体"/>
          <w:lang w:eastAsia="zh-CN"/>
        </w:rPr>
        <w:t xml:space="preserve"> 26, 2023</w:t>
      </w:r>
    </w:p>
    <w:p w14:paraId="1B5C2780" w14:textId="77777777" w:rsidR="00F71A33" w:rsidRPr="00F71A33" w:rsidRDefault="00F71A33" w:rsidP="0037575E">
      <w:pPr>
        <w:pStyle w:val="afb"/>
        <w:jc w:val="both"/>
        <w:rPr>
          <w:rFonts w:eastAsia="宋体"/>
          <w:lang w:eastAsia="zh-CN"/>
        </w:rPr>
      </w:pPr>
    </w:p>
    <w:p w14:paraId="396411D9" w14:textId="77777777" w:rsidR="00911C40" w:rsidRPr="00F26092" w:rsidRDefault="00911C40" w:rsidP="0037575E">
      <w:pPr>
        <w:tabs>
          <w:tab w:val="left" w:pos="1985"/>
        </w:tabs>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2213F48B" w:rsidR="00911C40" w:rsidRPr="003044DD" w:rsidRDefault="00911C40" w:rsidP="0037575E">
      <w:pPr>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000F05">
        <w:rPr>
          <w:rFonts w:ascii="Arial" w:hAnsi="Arial" w:cs="Arial"/>
        </w:rPr>
        <w:t xml:space="preserve">Discussion on </w:t>
      </w:r>
      <w:r w:rsidR="00C4696F">
        <w:rPr>
          <w:rFonts w:ascii="Arial" w:hAnsi="Arial" w:cs="Arial"/>
        </w:rPr>
        <w:t xml:space="preserve">system parameter for </w:t>
      </w:r>
      <w:proofErr w:type="spellStart"/>
      <w:r w:rsidR="00000F05">
        <w:rPr>
          <w:rFonts w:ascii="Arial" w:hAnsi="Arial" w:cs="Arial"/>
        </w:rPr>
        <w:t>s</w:t>
      </w:r>
      <w:r w:rsidR="00000F05" w:rsidRPr="00000F05">
        <w:rPr>
          <w:rFonts w:ascii="Arial" w:hAnsi="Arial" w:cs="Arial"/>
        </w:rPr>
        <w:t>idelink</w:t>
      </w:r>
      <w:proofErr w:type="spellEnd"/>
      <w:r w:rsidR="00000F05" w:rsidRPr="00000F05">
        <w:rPr>
          <w:rFonts w:ascii="Arial" w:hAnsi="Arial" w:cs="Arial"/>
        </w:rPr>
        <w:t xml:space="preserve"> on a single unlicensed spectrum</w:t>
      </w:r>
    </w:p>
    <w:p w14:paraId="535E320E" w14:textId="54740C66" w:rsidR="00911C40" w:rsidRPr="0022403E" w:rsidRDefault="00911C40" w:rsidP="0037575E">
      <w:pPr>
        <w:ind w:left="1985" w:hanging="1985"/>
        <w:jc w:val="both"/>
        <w:rPr>
          <w:rFonts w:ascii="Arial" w:hAnsi="Arial" w:cs="Arial"/>
        </w:rPr>
      </w:pPr>
      <w:r>
        <w:rPr>
          <w:rFonts w:ascii="Arial" w:hAnsi="Arial" w:cs="Arial" w:hint="eastAsia"/>
          <w:b/>
        </w:rPr>
        <w:t>Agenda Item:</w:t>
      </w:r>
      <w:r>
        <w:rPr>
          <w:rFonts w:ascii="Arial" w:hAnsi="Arial" w:cs="Arial" w:hint="eastAsia"/>
        </w:rPr>
        <w:tab/>
      </w:r>
      <w:r w:rsidR="00561D1B">
        <w:rPr>
          <w:rFonts w:ascii="Arial" w:hAnsi="Arial" w:cs="Arial"/>
        </w:rPr>
        <w:t>5.31.2.1</w:t>
      </w:r>
      <w:r w:rsidR="00F16831">
        <w:rPr>
          <w:rFonts w:ascii="Arial" w:hAnsi="Arial" w:cs="Arial"/>
        </w:rPr>
        <w:t>.1</w:t>
      </w:r>
    </w:p>
    <w:p w14:paraId="5FB329A9" w14:textId="77777777" w:rsidR="00911C40" w:rsidRPr="00A62DA7" w:rsidRDefault="00911C40" w:rsidP="0037575E">
      <w:pPr>
        <w:tabs>
          <w:tab w:val="left" w:pos="1985"/>
        </w:tabs>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37575E">
      <w:pPr>
        <w:pStyle w:val="1"/>
        <w:spacing w:after="240"/>
        <w:jc w:val="both"/>
        <w:rPr>
          <w:rFonts w:eastAsia="宋体"/>
          <w:lang w:eastAsia="zh-CN"/>
        </w:rPr>
      </w:pPr>
      <w:r>
        <w:rPr>
          <w:rFonts w:eastAsia="宋体" w:hint="eastAsia"/>
          <w:lang w:eastAsia="zh-CN"/>
        </w:rPr>
        <w:t>Introduction</w:t>
      </w:r>
    </w:p>
    <w:p w14:paraId="26668D5F" w14:textId="58061D3D" w:rsidR="009A089A" w:rsidRDefault="00E51E86" w:rsidP="0037575E">
      <w:pPr>
        <w:jc w:val="both"/>
      </w:pPr>
      <w:r w:rsidRPr="00E51E86">
        <w:t>The WID revision [1] was approved in RAN#9</w:t>
      </w:r>
      <w:r w:rsidR="00DA7E1C">
        <w:t>9</w:t>
      </w:r>
      <w:r w:rsidRPr="00E51E86">
        <w:t xml:space="preserve">e as the updated scope for the topic of NR </w:t>
      </w:r>
      <w:proofErr w:type="spellStart"/>
      <w:r w:rsidRPr="00E51E86">
        <w:t>sidelink</w:t>
      </w:r>
      <w:proofErr w:type="spellEnd"/>
      <w:r w:rsidRPr="00E51E86">
        <w:t xml:space="preserve"> evolution.</w:t>
      </w:r>
      <w:r w:rsidR="00DA7E1C">
        <w:t xml:space="preserve"> The objective about </w:t>
      </w:r>
      <w:proofErr w:type="spellStart"/>
      <w:r w:rsidR="00DA7E1C" w:rsidRPr="00DA7E1C">
        <w:t>sidelink</w:t>
      </w:r>
      <w:proofErr w:type="spellEnd"/>
      <w:r w:rsidR="00DA7E1C" w:rsidRPr="00DA7E1C">
        <w:t xml:space="preserve"> on a single unlicensed spectrum</w:t>
      </w:r>
      <w:r w:rsidRPr="00E51E86">
        <w:t xml:space="preserve"> </w:t>
      </w:r>
      <w:r w:rsidR="00DA7E1C">
        <w:t>is as follows.</w:t>
      </w:r>
    </w:p>
    <w:tbl>
      <w:tblPr>
        <w:tblStyle w:val="af8"/>
        <w:tblW w:w="0" w:type="auto"/>
        <w:tblLook w:val="04A0" w:firstRow="1" w:lastRow="0" w:firstColumn="1" w:lastColumn="0" w:noHBand="0" w:noVBand="1"/>
      </w:tblPr>
      <w:tblGrid>
        <w:gridCol w:w="9631"/>
      </w:tblGrid>
      <w:tr w:rsidR="00E51E86" w14:paraId="013F31AB" w14:textId="77777777" w:rsidTr="00E51E86">
        <w:tc>
          <w:tcPr>
            <w:tcW w:w="9631" w:type="dxa"/>
          </w:tcPr>
          <w:p w14:paraId="4D0AF8DE" w14:textId="77777777" w:rsidR="00DA7E1C" w:rsidRPr="00071E01" w:rsidRDefault="00DA7E1C" w:rsidP="00DA7E1C">
            <w:pPr>
              <w:pStyle w:val="aff6"/>
              <w:numPr>
                <w:ilvl w:val="0"/>
                <w:numId w:val="68"/>
              </w:numPr>
              <w:spacing w:before="120" w:line="240" w:lineRule="auto"/>
              <w:ind w:left="313" w:firstLineChars="0" w:hanging="284"/>
              <w:rPr>
                <w:rFonts w:ascii="Times" w:hAnsi="Times" w:cs="Times"/>
              </w:rPr>
            </w:pPr>
            <w:r w:rsidRPr="00071E01">
              <w:rPr>
                <w:rFonts w:ascii="Times" w:hAnsi="Times" w:cs="Times"/>
              </w:rPr>
              <w:t xml:space="preserve">Study and specify support of </w:t>
            </w:r>
            <w:proofErr w:type="spellStart"/>
            <w:r w:rsidRPr="00071E01">
              <w:rPr>
                <w:rFonts w:ascii="Times" w:hAnsi="Times" w:cs="Times"/>
              </w:rPr>
              <w:t>sidelink</w:t>
            </w:r>
            <w:proofErr w:type="spellEnd"/>
            <w:r w:rsidRPr="00071E01">
              <w:rPr>
                <w:rFonts w:ascii="Times" w:hAnsi="Times" w:cs="Times"/>
              </w:rPr>
              <w:t xml:space="preserve"> on unlicensed spectrum for both mode 1 and mode 2 where </w:t>
            </w:r>
            <w:proofErr w:type="spellStart"/>
            <w:r w:rsidRPr="00071E01">
              <w:rPr>
                <w:rFonts w:ascii="Times" w:hAnsi="Times" w:cs="Times"/>
              </w:rPr>
              <w:t>Uu</w:t>
            </w:r>
            <w:proofErr w:type="spellEnd"/>
            <w:r w:rsidRPr="00071E01">
              <w:rPr>
                <w:rFonts w:ascii="Times" w:hAnsi="Times" w:cs="Times"/>
              </w:rPr>
              <w:t xml:space="preserve"> operation for mode 1 is limited to licensed spectrum only [RAN1, RAN2, RAN4]</w:t>
            </w:r>
          </w:p>
          <w:p w14:paraId="38FA3D9B" w14:textId="77777777" w:rsidR="00DA7E1C" w:rsidRPr="00420B53" w:rsidRDefault="00DA7E1C" w:rsidP="00DA7E1C">
            <w:pPr>
              <w:numPr>
                <w:ilvl w:val="0"/>
                <w:numId w:val="45"/>
              </w:numPr>
              <w:spacing w:before="60" w:after="60" w:line="240" w:lineRule="auto"/>
              <w:ind w:left="993" w:hanging="284"/>
              <w:jc w:val="both"/>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14:paraId="731A3ECB" w14:textId="77777777" w:rsidR="00DA7E1C" w:rsidRDefault="00DA7E1C" w:rsidP="00DA7E1C">
            <w:pPr>
              <w:numPr>
                <w:ilvl w:val="1"/>
                <w:numId w:val="45"/>
              </w:numPr>
              <w:spacing w:before="60" w:after="60" w:line="240" w:lineRule="auto"/>
              <w:ind w:left="1418" w:hanging="284"/>
              <w:jc w:val="both"/>
              <w:rPr>
                <w:rFonts w:ascii="Times" w:hAnsi="Times" w:cs="Times"/>
                <w:lang w:eastAsia="ko-KR"/>
              </w:rPr>
            </w:pPr>
            <w:bookmarkStart w:id="3" w:name="_Hlk89917081"/>
            <w:r w:rsidRPr="00753181">
              <w:rPr>
                <w:rFonts w:ascii="Times" w:hAnsi="Times" w:cs="Times"/>
                <w:lang w:eastAsia="ko-KR"/>
              </w:rPr>
              <w:t xml:space="preserve">Assess the applicability of </w:t>
            </w:r>
            <w:proofErr w:type="spellStart"/>
            <w:r w:rsidRPr="00753181">
              <w:rPr>
                <w:rFonts w:ascii="Times" w:hAnsi="Times" w:cs="Times"/>
                <w:lang w:eastAsia="ko-KR"/>
              </w:rPr>
              <w:t>sidelink</w:t>
            </w:r>
            <w:proofErr w:type="spellEnd"/>
            <w:r w:rsidRPr="00753181">
              <w:rPr>
                <w:rFonts w:ascii="Times" w:hAnsi="Times" w:cs="Times"/>
                <w:lang w:eastAsia="ko-KR"/>
              </w:rPr>
              <w:t xml:space="preserve"> resource reservation from Rel-16/Rel-17 to </w:t>
            </w:r>
            <w:proofErr w:type="spellStart"/>
            <w:r w:rsidRPr="00753181">
              <w:rPr>
                <w:rFonts w:ascii="Times" w:hAnsi="Times" w:cs="Times"/>
                <w:lang w:eastAsia="ko-KR"/>
              </w:rPr>
              <w:t>sidelink</w:t>
            </w:r>
            <w:proofErr w:type="spellEnd"/>
            <w:r w:rsidRPr="00753181">
              <w:rPr>
                <w:rFonts w:ascii="Times" w:hAnsi="Times" w:cs="Times"/>
                <w:lang w:eastAsia="ko-KR"/>
              </w:rPr>
              <w:t xml:space="preserve"> unlicensed operation within the boundaries of unlicensed channel access mechanism and operation</w:t>
            </w:r>
          </w:p>
          <w:p w14:paraId="50E7E9A1" w14:textId="77777777" w:rsidR="00DA7E1C" w:rsidRPr="00B248A5" w:rsidRDefault="00DA7E1C" w:rsidP="00DA7E1C">
            <w:pPr>
              <w:numPr>
                <w:ilvl w:val="2"/>
                <w:numId w:val="45"/>
              </w:numPr>
              <w:spacing w:before="60" w:after="60" w:line="240" w:lineRule="auto"/>
              <w:jc w:val="both"/>
              <w:rPr>
                <w:rFonts w:ascii="Times" w:hAnsi="Times" w:cs="Times"/>
                <w:lang w:eastAsia="ko-KR"/>
              </w:rPr>
            </w:pPr>
            <w:r w:rsidRPr="00B248A5">
              <w:rPr>
                <w:rFonts w:ascii="Times" w:hAnsi="Times" w:cs="Times"/>
                <w:lang w:eastAsia="ko-KR"/>
              </w:rPr>
              <w:t>No specific enhancements for Rel-17 resource allocation mechanisms</w:t>
            </w:r>
            <w:bookmarkEnd w:id="3"/>
          </w:p>
          <w:p w14:paraId="6BFAB74D" w14:textId="77777777" w:rsidR="00DA7E1C" w:rsidRPr="00B248A5" w:rsidRDefault="00DA7E1C" w:rsidP="00DA7E1C">
            <w:pPr>
              <w:numPr>
                <w:ilvl w:val="2"/>
                <w:numId w:val="45"/>
              </w:numPr>
              <w:spacing w:before="60" w:after="60" w:line="240" w:lineRule="auto"/>
              <w:jc w:val="both"/>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0C5701CF" w14:textId="77777777" w:rsidR="00DA7E1C" w:rsidRPr="00B248A5" w:rsidRDefault="00DA7E1C" w:rsidP="00DA7E1C">
            <w:pPr>
              <w:numPr>
                <w:ilvl w:val="0"/>
                <w:numId w:val="45"/>
              </w:numPr>
              <w:spacing w:before="60" w:after="60" w:line="240" w:lineRule="auto"/>
              <w:ind w:left="993" w:hanging="284"/>
              <w:jc w:val="both"/>
              <w:rPr>
                <w:rFonts w:ascii="Times" w:hAnsi="Times" w:cs="Times"/>
                <w:lang w:eastAsia="ko-KR"/>
              </w:rPr>
            </w:pPr>
            <w:bookmarkStart w:id="4" w:name="_Hlk89917101"/>
            <w:r w:rsidRPr="00B248A5">
              <w:rPr>
                <w:rFonts w:ascii="Times" w:hAnsi="Times" w:cs="Times"/>
                <w:lang w:eastAsia="ko-KR"/>
              </w:rPr>
              <w:t xml:space="preserve">Physical channel design framework: Required changes to NR </w:t>
            </w:r>
            <w:proofErr w:type="spellStart"/>
            <w:r w:rsidRPr="00B248A5">
              <w:rPr>
                <w:rFonts w:ascii="Times" w:hAnsi="Times" w:cs="Times"/>
                <w:lang w:eastAsia="ko-KR"/>
              </w:rPr>
              <w:t>sidelink</w:t>
            </w:r>
            <w:proofErr w:type="spellEnd"/>
            <w:r w:rsidRPr="00B248A5">
              <w:rPr>
                <w:rFonts w:ascii="Times" w:hAnsi="Times" w:cs="Times"/>
                <w:lang w:eastAsia="ko-KR"/>
              </w:rPr>
              <w:t xml:space="preserve"> physical channel structures and procedures to operate on unlicensed spectrum</w:t>
            </w:r>
            <w:bookmarkEnd w:id="4"/>
          </w:p>
          <w:p w14:paraId="00ED06FE" w14:textId="77777777" w:rsidR="00DA7E1C" w:rsidRPr="00B248A5" w:rsidRDefault="00DA7E1C" w:rsidP="00DA7E1C">
            <w:pPr>
              <w:numPr>
                <w:ilvl w:val="1"/>
                <w:numId w:val="45"/>
              </w:numPr>
              <w:spacing w:before="60" w:after="60" w:line="240" w:lineRule="auto"/>
              <w:ind w:left="1418" w:hanging="284"/>
              <w:jc w:val="both"/>
              <w:rPr>
                <w:rFonts w:ascii="Times" w:hAnsi="Times" w:cs="Times"/>
                <w:lang w:eastAsia="ko-KR"/>
              </w:rPr>
            </w:pPr>
            <w:bookmarkStart w:id="5" w:name="_Hlk89917118"/>
            <w:r w:rsidRPr="00B248A5">
              <w:rPr>
                <w:rFonts w:ascii="Times" w:hAnsi="Times" w:cs="Times"/>
                <w:lang w:eastAsia="ko-KR"/>
              </w:rPr>
              <w:t xml:space="preserve">The existing NR </w:t>
            </w:r>
            <w:proofErr w:type="spellStart"/>
            <w:r w:rsidRPr="00B248A5">
              <w:rPr>
                <w:rFonts w:ascii="Times" w:hAnsi="Times" w:cs="Times"/>
                <w:lang w:eastAsia="ko-KR"/>
              </w:rPr>
              <w:t>sidelink</w:t>
            </w:r>
            <w:proofErr w:type="spellEnd"/>
            <w:r w:rsidRPr="00B248A5">
              <w:rPr>
                <w:rFonts w:ascii="Times" w:hAnsi="Times" w:cs="Times"/>
                <w:lang w:eastAsia="ko-KR"/>
              </w:rPr>
              <w:t xml:space="preserve"> and NR-U channel structure shall be reused </w:t>
            </w:r>
            <w:bookmarkEnd w:id="5"/>
            <w:r w:rsidRPr="00B248A5">
              <w:rPr>
                <w:rFonts w:ascii="Times" w:hAnsi="Times" w:cs="Times"/>
                <w:lang w:eastAsia="ko-KR"/>
              </w:rPr>
              <w:t>as the baseline.</w:t>
            </w:r>
          </w:p>
          <w:p w14:paraId="2031F8DF" w14:textId="77777777" w:rsidR="00DA7E1C" w:rsidRPr="00B248A5" w:rsidRDefault="00DA7E1C" w:rsidP="00DA7E1C">
            <w:pPr>
              <w:numPr>
                <w:ilvl w:val="0"/>
                <w:numId w:val="45"/>
              </w:numPr>
              <w:spacing w:before="60" w:after="60" w:line="240" w:lineRule="auto"/>
              <w:ind w:left="993" w:hanging="284"/>
              <w:jc w:val="both"/>
              <w:rPr>
                <w:rFonts w:ascii="Times" w:hAnsi="Times" w:cs="Times"/>
                <w:lang w:eastAsia="ko-KR"/>
              </w:rPr>
            </w:pPr>
            <w:bookmarkStart w:id="6" w:name="_Hlk89917140"/>
            <w:r w:rsidRPr="00B248A5">
              <w:rPr>
                <w:rFonts w:ascii="Times" w:hAnsi="Times" w:cs="Times"/>
                <w:lang w:eastAsia="ko-KR"/>
              </w:rPr>
              <w:t>No specific enhancements for existing NR SL feature</w:t>
            </w:r>
            <w:bookmarkEnd w:id="6"/>
          </w:p>
          <w:p w14:paraId="38253823" w14:textId="77777777" w:rsidR="00DA7E1C" w:rsidRDefault="00DA7E1C" w:rsidP="00DA7E1C">
            <w:pPr>
              <w:numPr>
                <w:ilvl w:val="0"/>
                <w:numId w:val="45"/>
              </w:numPr>
              <w:spacing w:before="60" w:after="60" w:line="240" w:lineRule="auto"/>
              <w:ind w:left="993" w:hanging="284"/>
              <w:jc w:val="both"/>
              <w:rPr>
                <w:rFonts w:ascii="Times" w:hAnsi="Times" w:cs="Times"/>
                <w:lang w:eastAsia="ko-KR"/>
              </w:rPr>
            </w:pPr>
            <w:r>
              <w:rPr>
                <w:rFonts w:ascii="Times" w:hAnsi="Times" w:cs="Times"/>
                <w:lang w:eastAsia="ko-KR"/>
              </w:rPr>
              <w:t>F</w:t>
            </w:r>
            <w:r w:rsidRPr="00B248A5">
              <w:rPr>
                <w:rFonts w:ascii="Times" w:hAnsi="Times" w:cs="Times"/>
                <w:lang w:eastAsia="ko-KR"/>
              </w:rPr>
              <w:t>ocus on FR1 unlicensed bands (n46 and n96/n102)</w:t>
            </w:r>
            <w:bookmarkStart w:id="7" w:name="_Hlk89917215"/>
            <w:r w:rsidRPr="00B248A5">
              <w:rPr>
                <w:rFonts w:ascii="Times" w:hAnsi="Times" w:cs="Times"/>
                <w:lang w:eastAsia="ko-KR"/>
              </w:rPr>
              <w:t>.</w:t>
            </w:r>
            <w:bookmarkEnd w:id="7"/>
          </w:p>
          <w:p w14:paraId="27EE6FAE" w14:textId="410A8EA4" w:rsidR="00E51E86" w:rsidRPr="00DA7E1C" w:rsidRDefault="00DA7E1C" w:rsidP="00DA7E1C">
            <w:pPr>
              <w:numPr>
                <w:ilvl w:val="0"/>
                <w:numId w:val="45"/>
              </w:numPr>
              <w:tabs>
                <w:tab w:val="num" w:pos="397"/>
              </w:tabs>
              <w:spacing w:before="60" w:after="60" w:line="240" w:lineRule="auto"/>
              <w:ind w:left="993" w:hanging="284"/>
              <w:jc w:val="both"/>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w:t>
            </w:r>
            <w:proofErr w:type="spellStart"/>
            <w:r w:rsidRPr="00914F54">
              <w:rPr>
                <w:rFonts w:ascii="Times" w:hAnsi="Times" w:cs="Times"/>
                <w:lang w:eastAsia="ko-KR"/>
              </w:rPr>
              <w:t>sidelink</w:t>
            </w:r>
            <w:proofErr w:type="spellEnd"/>
            <w:r w:rsidRPr="00914F54">
              <w:rPr>
                <w:rFonts w:ascii="Times" w:hAnsi="Times" w:cs="Times"/>
                <w:lang w:eastAsia="ko-KR"/>
              </w:rPr>
              <w:t xml:space="preserve"> unlicensed operation, the </w:t>
            </w:r>
            <w:proofErr w:type="spellStart"/>
            <w:r w:rsidRPr="00914F54">
              <w:rPr>
                <w:rFonts w:ascii="Times" w:hAnsi="Times" w:cs="Times"/>
                <w:lang w:eastAsia="ko-KR"/>
              </w:rPr>
              <w:t>gNB</w:t>
            </w:r>
            <w:proofErr w:type="spellEnd"/>
            <w:r w:rsidRPr="00914F54">
              <w:rPr>
                <w:rFonts w:ascii="Times" w:hAnsi="Times" w:cs="Times"/>
                <w:lang w:eastAsia="ko-KR"/>
              </w:rPr>
              <w:t xml:space="preserve">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tc>
      </w:tr>
    </w:tbl>
    <w:p w14:paraId="70611D39" w14:textId="7C209EBC" w:rsidR="00E51E86" w:rsidRDefault="00A530D3" w:rsidP="0037575E">
      <w:pPr>
        <w:spacing w:beforeLines="50" w:before="120"/>
        <w:jc w:val="both"/>
      </w:pPr>
      <w:r w:rsidRPr="00E51E86">
        <w:t xml:space="preserve">In this contribution, we </w:t>
      </w:r>
      <w:r>
        <w:t xml:space="preserve">provide our consideration and initial analysis on RAN4 work for </w:t>
      </w:r>
      <w:proofErr w:type="spellStart"/>
      <w:r w:rsidR="00DA7E1C" w:rsidRPr="00DA7E1C">
        <w:t>sidelink</w:t>
      </w:r>
      <w:proofErr w:type="spellEnd"/>
      <w:r w:rsidR="00DA7E1C" w:rsidRPr="00DA7E1C">
        <w:t xml:space="preserve"> on a single unlicensed spectrum</w:t>
      </w:r>
      <w:r w:rsidRPr="00E51E86">
        <w:t>.</w:t>
      </w:r>
    </w:p>
    <w:p w14:paraId="58AB0513" w14:textId="77777777" w:rsidR="00062E8E" w:rsidRDefault="00062E8E" w:rsidP="0037575E">
      <w:pPr>
        <w:pStyle w:val="1"/>
        <w:spacing w:after="240"/>
        <w:jc w:val="both"/>
        <w:rPr>
          <w:rFonts w:eastAsia="宋体"/>
          <w:lang w:eastAsia="zh-CN"/>
        </w:rPr>
      </w:pPr>
      <w:r>
        <w:rPr>
          <w:rFonts w:eastAsia="宋体" w:hint="eastAsia"/>
          <w:lang w:eastAsia="zh-CN"/>
        </w:rPr>
        <w:t>Discussion</w:t>
      </w:r>
    </w:p>
    <w:p w14:paraId="514EA8B0" w14:textId="77777777" w:rsidR="005369EE" w:rsidRDefault="00A97F47" w:rsidP="00CE7A4F">
      <w:pPr>
        <w:pStyle w:val="2"/>
        <w:spacing w:after="240"/>
      </w:pPr>
      <w:r>
        <w:rPr>
          <w:rFonts w:hint="eastAsia"/>
        </w:rPr>
        <w:t>W</w:t>
      </w:r>
      <w:r>
        <w:t>aveform</w:t>
      </w:r>
    </w:p>
    <w:p w14:paraId="260C21AD" w14:textId="4752E6E7" w:rsidR="0001555B" w:rsidRDefault="0001555B" w:rsidP="0037575E">
      <w:pPr>
        <w:jc w:val="both"/>
        <w:rPr>
          <w:lang w:val="en-US"/>
        </w:rPr>
      </w:pPr>
      <w:r w:rsidRPr="0001555B">
        <w:rPr>
          <w:lang w:val="en-US"/>
        </w:rPr>
        <w:t xml:space="preserve">The interlace-based resource allocation, </w:t>
      </w:r>
      <w:r w:rsidRPr="0001555B">
        <w:rPr>
          <w:szCs w:val="22"/>
          <w:lang w:val="en-US"/>
        </w:rPr>
        <w:t>where a 20 MHz is sliced into multiple interlaces, of each contains a number of distributed RBs with equal space,</w:t>
      </w:r>
      <w:r w:rsidRPr="0001555B">
        <w:rPr>
          <w:lang w:val="en-US"/>
        </w:rPr>
        <w:t xml:space="preserve"> is introduce in NR</w:t>
      </w:r>
      <w:r w:rsidRPr="0001555B">
        <w:rPr>
          <w:rFonts w:hint="eastAsia"/>
          <w:lang w:val="en-US"/>
        </w:rPr>
        <w:t>-</w:t>
      </w:r>
      <w:r w:rsidRPr="0001555B">
        <w:rPr>
          <w:lang w:val="en-US"/>
        </w:rPr>
        <w:t>U due to the regulation requirement on OCB. To fulfill the requirements when operating on unlicensed spectrum, the interlace-based resource allocation</w:t>
      </w:r>
      <w:r w:rsidR="00393247">
        <w:rPr>
          <w:lang w:val="en-US"/>
        </w:rPr>
        <w:t xml:space="preserve">, as illustrated in </w:t>
      </w:r>
      <w:r w:rsidR="00393247">
        <w:rPr>
          <w:lang w:val="en-US"/>
        </w:rPr>
        <w:fldChar w:fldCharType="begin"/>
      </w:r>
      <w:r w:rsidR="00393247">
        <w:rPr>
          <w:lang w:val="en-US"/>
        </w:rPr>
        <w:instrText xml:space="preserve"> REF _Ref127471153 \h </w:instrText>
      </w:r>
      <w:r w:rsidR="0037575E">
        <w:rPr>
          <w:lang w:val="en-US"/>
        </w:rPr>
        <w:instrText xml:space="preserve"> \* MERGEFORMAT </w:instrText>
      </w:r>
      <w:r w:rsidR="00393247">
        <w:rPr>
          <w:lang w:val="en-US"/>
        </w:rPr>
      </w:r>
      <w:r w:rsidR="00393247">
        <w:rPr>
          <w:lang w:val="en-US"/>
        </w:rPr>
        <w:fldChar w:fldCharType="separate"/>
      </w:r>
      <w:r w:rsidR="00ED6CFC" w:rsidRPr="00ED6CFC">
        <w:t xml:space="preserve">Figure </w:t>
      </w:r>
      <w:r w:rsidR="00ED6CFC" w:rsidRPr="00ED6CFC">
        <w:rPr>
          <w:noProof/>
        </w:rPr>
        <w:t>1</w:t>
      </w:r>
      <w:r w:rsidR="00393247">
        <w:rPr>
          <w:lang w:val="en-US"/>
        </w:rPr>
        <w:fldChar w:fldCharType="end"/>
      </w:r>
      <w:r w:rsidR="00393247">
        <w:rPr>
          <w:lang w:val="en-US"/>
        </w:rPr>
        <w:t>,</w:t>
      </w:r>
      <w:r w:rsidRPr="0001555B">
        <w:rPr>
          <w:lang w:val="en-US"/>
        </w:rPr>
        <w:t xml:space="preserve"> can be reused in SL-U.</w:t>
      </w:r>
      <w:r w:rsidR="008B1C2C">
        <w:rPr>
          <w:lang w:val="en-US"/>
        </w:rPr>
        <w:t xml:space="preserve"> There is impact on MPR of the interlace resource allocation.</w:t>
      </w:r>
    </w:p>
    <w:p w14:paraId="3269E43F" w14:textId="00767EE6" w:rsidR="00774203" w:rsidRPr="00957FBA" w:rsidRDefault="00774203" w:rsidP="0037575E">
      <w:pPr>
        <w:jc w:val="both"/>
        <w:rPr>
          <w:b/>
          <w:i/>
          <w:lang w:val="en-US"/>
        </w:rPr>
      </w:pPr>
      <w:r w:rsidRPr="00957FBA">
        <w:rPr>
          <w:b/>
          <w:i/>
          <w:lang w:val="en-US"/>
        </w:rPr>
        <w:lastRenderedPageBreak/>
        <w:t>Observation</w:t>
      </w:r>
      <w:r w:rsidR="007245B6">
        <w:rPr>
          <w:b/>
          <w:i/>
          <w:lang w:val="en-US"/>
        </w:rPr>
        <w:t xml:space="preserve"> 1</w:t>
      </w:r>
      <w:r w:rsidRPr="00957FBA">
        <w:rPr>
          <w:b/>
          <w:i/>
          <w:lang w:val="en-US"/>
        </w:rPr>
        <w:t xml:space="preserve">: </w:t>
      </w:r>
      <w:r>
        <w:rPr>
          <w:b/>
          <w:i/>
          <w:lang w:val="en-US"/>
        </w:rPr>
        <w:t>T</w:t>
      </w:r>
      <w:r w:rsidRPr="00957FBA">
        <w:rPr>
          <w:b/>
          <w:i/>
          <w:lang w:val="en-US"/>
        </w:rPr>
        <w:t>he resource allocation in SL-U is interlace-based to satisfy the requirement of PSD in unlicensed spectrum.</w:t>
      </w:r>
    </w:p>
    <w:p w14:paraId="093E69D6" w14:textId="4E4D3E4D" w:rsidR="00393247" w:rsidRPr="00870E11" w:rsidRDefault="00393247" w:rsidP="0037575E">
      <w:pPr>
        <w:jc w:val="both"/>
        <w:rPr>
          <w:b/>
          <w:i/>
          <w:lang w:val="en-US"/>
        </w:rPr>
      </w:pPr>
      <w:r w:rsidRPr="00870E11">
        <w:rPr>
          <w:b/>
          <w:i/>
          <w:lang w:val="en-US"/>
        </w:rPr>
        <w:t>Proposal</w:t>
      </w:r>
      <w:r w:rsidR="007245B6">
        <w:rPr>
          <w:b/>
          <w:i/>
          <w:lang w:val="en-US"/>
        </w:rPr>
        <w:t xml:space="preserve"> </w:t>
      </w:r>
      <w:r w:rsidR="000B1250">
        <w:rPr>
          <w:b/>
          <w:i/>
          <w:lang w:val="en-US"/>
        </w:rPr>
        <w:t>1</w:t>
      </w:r>
      <w:r w:rsidRPr="00870E11">
        <w:rPr>
          <w:b/>
          <w:i/>
          <w:lang w:val="en-US"/>
        </w:rPr>
        <w:t xml:space="preserve">: </w:t>
      </w:r>
      <w:r w:rsidR="00431520" w:rsidRPr="00870E11">
        <w:rPr>
          <w:b/>
          <w:i/>
          <w:lang w:val="en-US"/>
        </w:rPr>
        <w:t>The impact on MPR from interlace-based resource allocation should be considered in Rel-18.</w:t>
      </w:r>
    </w:p>
    <w:p w14:paraId="17878A55" w14:textId="77777777" w:rsidR="00324383" w:rsidRDefault="00324383" w:rsidP="0037575E">
      <w:pPr>
        <w:keepNext/>
        <w:jc w:val="center"/>
      </w:pPr>
      <w:r>
        <w:object w:dxaOrig="11532" w:dyaOrig="5220" w14:anchorId="3DE84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89.5pt" o:ole="">
            <v:imagedata r:id="rId8" o:title=""/>
          </v:shape>
          <o:OLEObject Type="Embed" ProgID="Visio.Drawing.15" ShapeID="_x0000_i1025" DrawAspect="Content" ObjectID="_1742670156" r:id="rId9"/>
        </w:object>
      </w:r>
    </w:p>
    <w:p w14:paraId="3681257F" w14:textId="48A1ABCC" w:rsidR="0001555B" w:rsidRPr="00FB441C" w:rsidRDefault="00324383" w:rsidP="0037575E">
      <w:pPr>
        <w:pStyle w:val="ad"/>
        <w:jc w:val="center"/>
        <w:rPr>
          <w:rFonts w:ascii="Arial" w:hAnsi="Arial" w:cs="Arial"/>
          <w:sz w:val="18"/>
          <w:lang w:val="en-US"/>
        </w:rPr>
      </w:pPr>
      <w:bookmarkStart w:id="8" w:name="_Ref127471153"/>
      <w:r w:rsidRPr="00FB441C">
        <w:rPr>
          <w:rFonts w:ascii="Arial" w:hAnsi="Arial" w:cs="Arial"/>
          <w:sz w:val="18"/>
        </w:rPr>
        <w:t xml:space="preserve">Figure </w:t>
      </w:r>
      <w:r w:rsidRPr="00FB441C">
        <w:rPr>
          <w:rFonts w:ascii="Arial" w:hAnsi="Arial" w:cs="Arial"/>
          <w:sz w:val="18"/>
        </w:rPr>
        <w:fldChar w:fldCharType="begin"/>
      </w:r>
      <w:r w:rsidRPr="00FB441C">
        <w:rPr>
          <w:rFonts w:ascii="Arial" w:hAnsi="Arial" w:cs="Arial"/>
          <w:sz w:val="18"/>
        </w:rPr>
        <w:instrText xml:space="preserve"> SEQ Figure \* ARABIC </w:instrText>
      </w:r>
      <w:r w:rsidRPr="00FB441C">
        <w:rPr>
          <w:rFonts w:ascii="Arial" w:hAnsi="Arial" w:cs="Arial"/>
          <w:sz w:val="18"/>
        </w:rPr>
        <w:fldChar w:fldCharType="separate"/>
      </w:r>
      <w:r w:rsidR="00ED6CFC" w:rsidRPr="00FB441C">
        <w:rPr>
          <w:rFonts w:ascii="Arial" w:hAnsi="Arial" w:cs="Arial"/>
          <w:noProof/>
          <w:sz w:val="18"/>
        </w:rPr>
        <w:t>1</w:t>
      </w:r>
      <w:r w:rsidRPr="00FB441C">
        <w:rPr>
          <w:rFonts w:ascii="Arial" w:hAnsi="Arial" w:cs="Arial"/>
          <w:sz w:val="18"/>
        </w:rPr>
        <w:fldChar w:fldCharType="end"/>
      </w:r>
      <w:bookmarkEnd w:id="8"/>
      <w:r w:rsidRPr="00FB441C">
        <w:rPr>
          <w:rFonts w:ascii="Arial" w:hAnsi="Arial" w:cs="Arial"/>
          <w:sz w:val="18"/>
        </w:rPr>
        <w:t xml:space="preserve"> Illustration of interlace based sub-channel and resource pool [2]</w:t>
      </w:r>
    </w:p>
    <w:p w14:paraId="65D2CB11" w14:textId="36959E8B" w:rsidR="00A97F47" w:rsidRDefault="00016F61" w:rsidP="00CE7A4F">
      <w:pPr>
        <w:pStyle w:val="2"/>
        <w:spacing w:after="240"/>
      </w:pPr>
      <w:r>
        <w:t xml:space="preserve">Channel raster and </w:t>
      </w:r>
      <w:r w:rsidR="00A97F47">
        <w:rPr>
          <w:rFonts w:hint="eastAsia"/>
        </w:rPr>
        <w:t>S</w:t>
      </w:r>
      <w:r w:rsidR="00A97F47">
        <w:t>ync raster</w:t>
      </w:r>
    </w:p>
    <w:p w14:paraId="193427F3" w14:textId="571CA105" w:rsidR="003D1FF2" w:rsidRDefault="003D1FF2" w:rsidP="0037575E">
      <w:pPr>
        <w:jc w:val="both"/>
        <w:rPr>
          <w:lang w:val="en-US"/>
        </w:rPr>
      </w:pPr>
      <w:r w:rsidRPr="00A1115A">
        <w:t xml:space="preserve">The channel raster defines a subset of RF reference frequencies that can be used to identify the RF channel position in the uplink and downlink. </w:t>
      </w:r>
      <w:r>
        <w:t xml:space="preserve">For SL operates on licensed band, the </w:t>
      </w:r>
      <w:r w:rsidRPr="00A1115A">
        <w:t>RF reference frequency for an RF channel</w:t>
      </w:r>
      <w:r>
        <w:t xml:space="preserve"> is not changed, which is based on the global frequency channel raster. Thus</w:t>
      </w:r>
      <w:r>
        <w:rPr>
          <w:lang w:val="en-US"/>
        </w:rPr>
        <w:t xml:space="preserve"> t</w:t>
      </w:r>
      <w:r w:rsidR="00E62231">
        <w:rPr>
          <w:lang w:val="en-US"/>
        </w:rPr>
        <w:t xml:space="preserve">he channel raster defined for unlicensed spectrum can be reused for the </w:t>
      </w:r>
      <w:proofErr w:type="spellStart"/>
      <w:r w:rsidR="00E62231">
        <w:rPr>
          <w:lang w:val="en-US"/>
        </w:rPr>
        <w:t>sidelink</w:t>
      </w:r>
      <w:proofErr w:type="spellEnd"/>
      <w:r w:rsidR="00E62231">
        <w:rPr>
          <w:lang w:val="en-US"/>
        </w:rPr>
        <w:t xml:space="preserve"> operation on unlicensed band. </w:t>
      </w:r>
    </w:p>
    <w:p w14:paraId="60AA4DD9" w14:textId="1EC8D22F" w:rsidR="001250CF" w:rsidRDefault="00D06357" w:rsidP="0037575E">
      <w:pPr>
        <w:jc w:val="both"/>
        <w:rPr>
          <w:lang w:val="en-US"/>
        </w:rPr>
      </w:pPr>
      <w:r>
        <w:rPr>
          <w:lang w:val="en-US"/>
        </w:rPr>
        <w:t>In</w:t>
      </w:r>
      <w:r w:rsidR="00E62231">
        <w:rPr>
          <w:lang w:val="en-US"/>
        </w:rPr>
        <w:t xml:space="preserve"> Rel-16/17,</w:t>
      </w:r>
      <w:r>
        <w:rPr>
          <w:lang w:val="en-US"/>
        </w:rPr>
        <w:t xml:space="preserve"> t</w:t>
      </w:r>
      <w:r w:rsidRPr="00D06357">
        <w:rPr>
          <w:lang w:val="en-US"/>
        </w:rPr>
        <w:t>here is no synchronization raster definition for NR V2X for both licensed bands and unlicensed bands.</w:t>
      </w:r>
      <w:r>
        <w:rPr>
          <w:lang w:val="en-US"/>
        </w:rPr>
        <w:t xml:space="preserve"> </w:t>
      </w:r>
      <w:r w:rsidR="001250CF">
        <w:rPr>
          <w:lang w:val="en-US"/>
        </w:rPr>
        <w:t>The reason is that t</w:t>
      </w:r>
      <w:r w:rsidR="001250CF" w:rsidRPr="001250CF">
        <w:rPr>
          <w:lang w:val="en-US"/>
        </w:rPr>
        <w:t>he frequency location for S-SSB is (pre-) configured</w:t>
      </w:r>
      <w:r w:rsidR="001250CF">
        <w:rPr>
          <w:lang w:val="en-US"/>
        </w:rPr>
        <w:t xml:space="preserve">. </w:t>
      </w:r>
    </w:p>
    <w:p w14:paraId="7177F956" w14:textId="00795E45" w:rsidR="007E3AF6" w:rsidRDefault="00D06357" w:rsidP="0037575E">
      <w:pPr>
        <w:jc w:val="both"/>
        <w:rPr>
          <w:lang w:val="en-US"/>
        </w:rPr>
      </w:pPr>
      <w:r>
        <w:rPr>
          <w:lang w:val="en-US"/>
        </w:rPr>
        <w:t xml:space="preserve">Since the SL-U S-SSB design is still under discussion in RAN1, whether to introduce definition of synchronization raster for </w:t>
      </w:r>
      <w:proofErr w:type="spellStart"/>
      <w:r>
        <w:rPr>
          <w:lang w:val="en-US"/>
        </w:rPr>
        <w:t>sidelink</w:t>
      </w:r>
      <w:proofErr w:type="spellEnd"/>
      <w:r>
        <w:rPr>
          <w:lang w:val="en-US"/>
        </w:rPr>
        <w:t xml:space="preserve"> operation on licensed spectrum is up to the outcome of RAN1 decision. If the S-SSB is still pre-configured, the conclusion in Rel-16/17 can be reused.</w:t>
      </w:r>
    </w:p>
    <w:p w14:paraId="7121EFEE" w14:textId="5F6FF369" w:rsidR="00D06357" w:rsidRPr="00870E11" w:rsidRDefault="00D06357" w:rsidP="0037575E">
      <w:pPr>
        <w:snapToGrid w:val="0"/>
        <w:spacing w:after="0"/>
        <w:jc w:val="both"/>
        <w:rPr>
          <w:b/>
          <w:i/>
          <w:lang w:val="en-US"/>
        </w:rPr>
      </w:pPr>
      <w:r w:rsidRPr="00870E11">
        <w:rPr>
          <w:b/>
          <w:i/>
          <w:lang w:val="en-US"/>
        </w:rPr>
        <w:t>Proposal</w:t>
      </w:r>
      <w:r w:rsidR="00B97E17">
        <w:rPr>
          <w:b/>
          <w:i/>
          <w:lang w:val="en-US"/>
        </w:rPr>
        <w:t xml:space="preserve"> </w:t>
      </w:r>
      <w:r w:rsidR="000B1250">
        <w:rPr>
          <w:b/>
          <w:i/>
          <w:lang w:val="en-US"/>
        </w:rPr>
        <w:t>2</w:t>
      </w:r>
      <w:r w:rsidRPr="00870E11">
        <w:rPr>
          <w:b/>
          <w:i/>
          <w:lang w:val="en-US"/>
        </w:rPr>
        <w:t xml:space="preserve">: </w:t>
      </w:r>
      <w:r w:rsidR="003D1FF2" w:rsidRPr="006A25D8">
        <w:rPr>
          <w:b/>
          <w:i/>
          <w:lang w:val="en-US"/>
        </w:rPr>
        <w:t>The channel raster defined for unlicensed spectrum can be reused.</w:t>
      </w:r>
    </w:p>
    <w:p w14:paraId="147C90EF" w14:textId="18E7D437" w:rsidR="00D06357" w:rsidRPr="006A25D8" w:rsidRDefault="003D1FF2" w:rsidP="0037575E">
      <w:pPr>
        <w:snapToGrid w:val="0"/>
        <w:jc w:val="both"/>
        <w:rPr>
          <w:b/>
          <w:i/>
          <w:lang w:val="en-US"/>
        </w:rPr>
      </w:pPr>
      <w:r w:rsidRPr="00870E11">
        <w:rPr>
          <w:b/>
          <w:i/>
          <w:lang w:val="en-US"/>
        </w:rPr>
        <w:t>Proposal</w:t>
      </w:r>
      <w:r w:rsidR="00B97E17">
        <w:rPr>
          <w:b/>
          <w:i/>
          <w:lang w:val="en-US"/>
        </w:rPr>
        <w:t xml:space="preserve"> </w:t>
      </w:r>
      <w:r w:rsidR="000B1250">
        <w:rPr>
          <w:b/>
          <w:i/>
          <w:lang w:val="en-US"/>
        </w:rPr>
        <w:t>3</w:t>
      </w:r>
      <w:r w:rsidRPr="00870E11">
        <w:rPr>
          <w:b/>
          <w:i/>
          <w:lang w:val="en-US"/>
        </w:rPr>
        <w:t>:</w:t>
      </w:r>
      <w:r>
        <w:rPr>
          <w:b/>
          <w:i/>
          <w:lang w:val="en-US"/>
        </w:rPr>
        <w:t xml:space="preserve"> </w:t>
      </w:r>
      <w:r w:rsidR="00D06357" w:rsidRPr="006A25D8">
        <w:rPr>
          <w:b/>
          <w:i/>
          <w:lang w:val="en-US"/>
        </w:rPr>
        <w:t>Whether to define synchronization raster for SL-U is up to RAN1’s conclusion</w:t>
      </w:r>
      <w:r>
        <w:rPr>
          <w:b/>
          <w:i/>
          <w:lang w:val="en-US"/>
        </w:rPr>
        <w:t xml:space="preserve"> based on </w:t>
      </w:r>
      <w:r>
        <w:rPr>
          <w:rFonts w:hint="eastAsia"/>
          <w:b/>
          <w:i/>
          <w:lang w:val="en-US"/>
        </w:rPr>
        <w:t>S-SSB</w:t>
      </w:r>
      <w:r>
        <w:rPr>
          <w:b/>
          <w:i/>
          <w:lang w:val="en-US"/>
        </w:rPr>
        <w:t xml:space="preserve"> design in Rel-18</w:t>
      </w:r>
      <w:r w:rsidR="00D06357" w:rsidRPr="006A25D8">
        <w:rPr>
          <w:b/>
          <w:i/>
          <w:lang w:val="en-US"/>
        </w:rPr>
        <w:t xml:space="preserve">. </w:t>
      </w:r>
    </w:p>
    <w:p w14:paraId="5DB6E399" w14:textId="77777777" w:rsidR="00A97F47" w:rsidRDefault="007B6240" w:rsidP="00CE7A4F">
      <w:pPr>
        <w:pStyle w:val="2"/>
        <w:spacing w:after="240"/>
      </w:pPr>
      <w:r>
        <w:rPr>
          <w:rFonts w:hint="eastAsia"/>
        </w:rPr>
        <w:t>W</w:t>
      </w:r>
      <w:r>
        <w:t>ideband operation</w:t>
      </w:r>
    </w:p>
    <w:p w14:paraId="4C464145" w14:textId="2E8BFCF8" w:rsidR="00A97F47" w:rsidRDefault="006F413F" w:rsidP="0037575E">
      <w:pPr>
        <w:jc w:val="both"/>
        <w:rPr>
          <w:lang w:val="en-US"/>
        </w:rPr>
      </w:pPr>
      <w:r>
        <w:rPr>
          <w:lang w:val="en-US"/>
        </w:rPr>
        <w:t>In Rel-16, both DL and UL transmission on a wideband carrier (&gt;20MHz) in unlicensed spectrum was discussed. The “out-of-BWP” leakage requirement, in-carrier leakage and blocking requirement were considered. It is recommended that such requirements to be considered in SL-U.</w:t>
      </w:r>
    </w:p>
    <w:p w14:paraId="63130E93" w14:textId="5CC05305" w:rsidR="00B97E17" w:rsidRPr="006A25D8" w:rsidRDefault="00B97E17" w:rsidP="0037575E">
      <w:pPr>
        <w:snapToGrid w:val="0"/>
        <w:jc w:val="both"/>
        <w:rPr>
          <w:b/>
          <w:i/>
          <w:lang w:val="en-US"/>
        </w:rPr>
      </w:pPr>
      <w:r w:rsidRPr="00870E11">
        <w:rPr>
          <w:b/>
          <w:i/>
          <w:lang w:val="en-US"/>
        </w:rPr>
        <w:t>Proposal</w:t>
      </w:r>
      <w:r>
        <w:rPr>
          <w:b/>
          <w:i/>
          <w:lang w:val="en-US"/>
        </w:rPr>
        <w:t xml:space="preserve"> </w:t>
      </w:r>
      <w:r w:rsidR="000B1250">
        <w:rPr>
          <w:b/>
          <w:i/>
          <w:lang w:val="en-US"/>
        </w:rPr>
        <w:t>4</w:t>
      </w:r>
      <w:r w:rsidRPr="00870E11">
        <w:rPr>
          <w:b/>
          <w:i/>
          <w:lang w:val="en-US"/>
        </w:rPr>
        <w:t>:</w:t>
      </w:r>
      <w:r>
        <w:rPr>
          <w:b/>
          <w:i/>
          <w:lang w:val="en-US"/>
        </w:rPr>
        <w:t xml:space="preserve"> </w:t>
      </w:r>
      <w:r w:rsidR="00734D4F">
        <w:rPr>
          <w:b/>
          <w:i/>
          <w:lang w:val="en-US"/>
        </w:rPr>
        <w:t xml:space="preserve">The requirements on wideband operation defined in Rel-16 can be reused in Rel-18. </w:t>
      </w:r>
    </w:p>
    <w:p w14:paraId="22190385" w14:textId="77777777" w:rsidR="005B45BB" w:rsidRDefault="005B45BB" w:rsidP="00CE7A4F">
      <w:pPr>
        <w:pStyle w:val="2"/>
        <w:spacing w:after="240"/>
      </w:pPr>
      <w:r>
        <w:rPr>
          <w:rFonts w:hint="eastAsia"/>
        </w:rPr>
        <w:t>Power</w:t>
      </w:r>
      <w:r>
        <w:t xml:space="preserve"> class</w:t>
      </w:r>
    </w:p>
    <w:p w14:paraId="277A1BDB" w14:textId="7EC0ADAA" w:rsidR="00387FBF" w:rsidRDefault="00EF540E" w:rsidP="0037575E">
      <w:pPr>
        <w:jc w:val="both"/>
        <w:rPr>
          <w:lang w:val="en-US"/>
        </w:rPr>
      </w:pPr>
      <w:r>
        <w:rPr>
          <w:lang w:val="en-US"/>
        </w:rPr>
        <w:lastRenderedPageBreak/>
        <w:t xml:space="preserve">Power class 5 is supported for the NR-U spectrum band of n96 and n102. In Rel-16/17, </w:t>
      </w:r>
      <w:r w:rsidRPr="00EF540E">
        <w:rPr>
          <w:lang w:val="en-US"/>
        </w:rPr>
        <w:t>the allowed NR V2X UE maximum output power is specified</w:t>
      </w:r>
      <w:r>
        <w:rPr>
          <w:lang w:val="en-US"/>
        </w:rPr>
        <w:t xml:space="preserve"> with PC3 and PC2.</w:t>
      </w:r>
      <w:r w:rsidR="00BF3A5C">
        <w:rPr>
          <w:lang w:val="en-US"/>
        </w:rPr>
        <w:t xml:space="preserve"> In the Rel-18 SL-U, power class 5 should be considered as the first priority.</w:t>
      </w:r>
    </w:p>
    <w:p w14:paraId="783B9825" w14:textId="4EDDA81E" w:rsidR="001250CF" w:rsidRPr="00957FBA" w:rsidRDefault="001250CF" w:rsidP="0037575E">
      <w:pPr>
        <w:jc w:val="both"/>
        <w:rPr>
          <w:b/>
          <w:i/>
          <w:lang w:val="en-US"/>
        </w:rPr>
      </w:pPr>
      <w:r w:rsidRPr="00957FBA">
        <w:rPr>
          <w:b/>
          <w:i/>
          <w:lang w:val="en-US"/>
        </w:rPr>
        <w:t>Proposal</w:t>
      </w:r>
      <w:r w:rsidR="00F65D5E">
        <w:rPr>
          <w:b/>
          <w:i/>
          <w:lang w:val="en-US"/>
        </w:rPr>
        <w:t xml:space="preserve"> </w:t>
      </w:r>
      <w:r w:rsidR="000B1250">
        <w:rPr>
          <w:b/>
          <w:i/>
          <w:lang w:val="en-US"/>
        </w:rPr>
        <w:t>5</w:t>
      </w:r>
      <w:r w:rsidRPr="00957FBA">
        <w:rPr>
          <w:b/>
          <w:i/>
          <w:lang w:val="en-US"/>
        </w:rPr>
        <w:t xml:space="preserve">: Power class 5 should be considered firstly for the </w:t>
      </w:r>
      <w:proofErr w:type="spellStart"/>
      <w:r w:rsidRPr="00957FBA">
        <w:rPr>
          <w:b/>
          <w:i/>
          <w:lang w:val="en-US"/>
        </w:rPr>
        <w:t>sidelink</w:t>
      </w:r>
      <w:proofErr w:type="spellEnd"/>
      <w:r w:rsidRPr="00957FBA">
        <w:rPr>
          <w:b/>
          <w:i/>
          <w:lang w:val="en-US"/>
        </w:rPr>
        <w:t xml:space="preserve"> operation in unlicensed spectrum.</w:t>
      </w:r>
    </w:p>
    <w:p w14:paraId="174B9998" w14:textId="77777777" w:rsidR="00A33E8E" w:rsidRDefault="00A33E8E" w:rsidP="0037575E">
      <w:pPr>
        <w:pStyle w:val="1"/>
        <w:spacing w:after="240"/>
        <w:jc w:val="both"/>
        <w:rPr>
          <w:rFonts w:eastAsia="宋体"/>
          <w:lang w:eastAsia="zh-CN"/>
        </w:rPr>
      </w:pPr>
      <w:r>
        <w:rPr>
          <w:rFonts w:eastAsia="宋体" w:hint="eastAsia"/>
          <w:lang w:eastAsia="zh-CN"/>
        </w:rPr>
        <w:t>Conclusion</w:t>
      </w:r>
    </w:p>
    <w:p w14:paraId="4A5029C5" w14:textId="24107E70" w:rsidR="00FC30F5" w:rsidRDefault="005369EE" w:rsidP="0037575E">
      <w:pPr>
        <w:snapToGrid w:val="0"/>
        <w:spacing w:after="0"/>
        <w:jc w:val="both"/>
      </w:pPr>
      <w:r>
        <w:t xml:space="preserve">This contribution provides </w:t>
      </w:r>
      <w:r w:rsidR="00D554FD">
        <w:t xml:space="preserve">our </w:t>
      </w:r>
      <w:r w:rsidR="00D554FD" w:rsidRPr="00D554FD">
        <w:t xml:space="preserve">consideration and initial analysis on </w:t>
      </w:r>
      <w:r w:rsidR="000B1250">
        <w:t xml:space="preserve">system parameter for </w:t>
      </w:r>
      <w:proofErr w:type="spellStart"/>
      <w:r w:rsidR="000B1250">
        <w:t>sidelink</w:t>
      </w:r>
      <w:proofErr w:type="spellEnd"/>
      <w:r w:rsidR="000B1250">
        <w:t xml:space="preserve"> on a single unlicensed spectrum </w:t>
      </w:r>
      <w:r w:rsidR="00D554FD">
        <w:t>with the following observation and proposals:</w:t>
      </w:r>
    </w:p>
    <w:p w14:paraId="5F1810DB" w14:textId="77777777" w:rsidR="000B1250" w:rsidRPr="00957FBA" w:rsidRDefault="000B1250" w:rsidP="000B1250">
      <w:pPr>
        <w:snapToGrid w:val="0"/>
        <w:spacing w:after="0"/>
        <w:jc w:val="both"/>
        <w:rPr>
          <w:b/>
          <w:i/>
          <w:lang w:val="en-US"/>
        </w:rPr>
      </w:pPr>
      <w:r w:rsidRPr="00957FBA">
        <w:rPr>
          <w:b/>
          <w:i/>
          <w:lang w:val="en-US"/>
        </w:rPr>
        <w:t>Observation</w:t>
      </w:r>
      <w:r>
        <w:rPr>
          <w:b/>
          <w:i/>
          <w:lang w:val="en-US"/>
        </w:rPr>
        <w:t xml:space="preserve"> 1</w:t>
      </w:r>
      <w:r w:rsidRPr="00957FBA">
        <w:rPr>
          <w:b/>
          <w:i/>
          <w:lang w:val="en-US"/>
        </w:rPr>
        <w:t xml:space="preserve">: </w:t>
      </w:r>
      <w:r>
        <w:rPr>
          <w:b/>
          <w:i/>
          <w:lang w:val="en-US"/>
        </w:rPr>
        <w:t>T</w:t>
      </w:r>
      <w:r w:rsidRPr="00957FBA">
        <w:rPr>
          <w:b/>
          <w:i/>
          <w:lang w:val="en-US"/>
        </w:rPr>
        <w:t>he resource allocation in SL-U is interlace-based to satisfy the requirement of PSD in unlicensed spectrum.</w:t>
      </w:r>
    </w:p>
    <w:p w14:paraId="04394E98" w14:textId="217EB612" w:rsidR="00A42AA5" w:rsidRPr="00870E11" w:rsidRDefault="00A42AA5" w:rsidP="000B1250">
      <w:pPr>
        <w:snapToGrid w:val="0"/>
        <w:spacing w:after="0"/>
        <w:jc w:val="both"/>
        <w:rPr>
          <w:b/>
          <w:i/>
          <w:lang w:val="en-US"/>
        </w:rPr>
      </w:pPr>
      <w:r w:rsidRPr="00870E11">
        <w:rPr>
          <w:b/>
          <w:i/>
          <w:lang w:val="en-US"/>
        </w:rPr>
        <w:t>Proposal</w:t>
      </w:r>
      <w:r>
        <w:rPr>
          <w:b/>
          <w:i/>
          <w:lang w:val="en-US"/>
        </w:rPr>
        <w:t xml:space="preserve"> </w:t>
      </w:r>
      <w:r w:rsidR="000B1250">
        <w:rPr>
          <w:b/>
          <w:i/>
          <w:lang w:val="en-US"/>
        </w:rPr>
        <w:t>1</w:t>
      </w:r>
      <w:r w:rsidRPr="00870E11">
        <w:rPr>
          <w:b/>
          <w:i/>
          <w:lang w:val="en-US"/>
        </w:rPr>
        <w:t>: The impact on MPR from interlace-based resource allocation should be considered in Rel-18.</w:t>
      </w:r>
    </w:p>
    <w:p w14:paraId="64F68867" w14:textId="77777777" w:rsidR="000B1250" w:rsidRPr="00870E11" w:rsidRDefault="000B1250" w:rsidP="000B1250">
      <w:pPr>
        <w:snapToGrid w:val="0"/>
        <w:spacing w:after="0"/>
        <w:jc w:val="both"/>
        <w:rPr>
          <w:b/>
          <w:i/>
          <w:lang w:val="en-US"/>
        </w:rPr>
      </w:pPr>
      <w:r w:rsidRPr="00870E11">
        <w:rPr>
          <w:b/>
          <w:i/>
          <w:lang w:val="en-US"/>
        </w:rPr>
        <w:t>Proposal</w:t>
      </w:r>
      <w:r>
        <w:rPr>
          <w:b/>
          <w:i/>
          <w:lang w:val="en-US"/>
        </w:rPr>
        <w:t xml:space="preserve"> 2</w:t>
      </w:r>
      <w:r w:rsidRPr="00870E11">
        <w:rPr>
          <w:b/>
          <w:i/>
          <w:lang w:val="en-US"/>
        </w:rPr>
        <w:t xml:space="preserve">: </w:t>
      </w:r>
      <w:r w:rsidRPr="006A25D8">
        <w:rPr>
          <w:b/>
          <w:i/>
          <w:lang w:val="en-US"/>
        </w:rPr>
        <w:t>The channel raster defined for unlicensed spectrum can be reused.</w:t>
      </w:r>
    </w:p>
    <w:p w14:paraId="60DBCD21" w14:textId="77777777" w:rsidR="000B1250" w:rsidRPr="006A25D8" w:rsidRDefault="000B1250" w:rsidP="000B1250">
      <w:pPr>
        <w:snapToGrid w:val="0"/>
        <w:spacing w:after="0"/>
        <w:jc w:val="both"/>
        <w:rPr>
          <w:b/>
          <w:i/>
          <w:lang w:val="en-US"/>
        </w:rPr>
      </w:pPr>
      <w:r w:rsidRPr="00870E11">
        <w:rPr>
          <w:b/>
          <w:i/>
          <w:lang w:val="en-US"/>
        </w:rPr>
        <w:t>Proposal</w:t>
      </w:r>
      <w:r>
        <w:rPr>
          <w:b/>
          <w:i/>
          <w:lang w:val="en-US"/>
        </w:rPr>
        <w:t xml:space="preserve"> 3</w:t>
      </w:r>
      <w:r w:rsidRPr="00870E11">
        <w:rPr>
          <w:b/>
          <w:i/>
          <w:lang w:val="en-US"/>
        </w:rPr>
        <w:t>:</w:t>
      </w:r>
      <w:r>
        <w:rPr>
          <w:b/>
          <w:i/>
          <w:lang w:val="en-US"/>
        </w:rPr>
        <w:t xml:space="preserve"> </w:t>
      </w:r>
      <w:r w:rsidRPr="006A25D8">
        <w:rPr>
          <w:b/>
          <w:i/>
          <w:lang w:val="en-US"/>
        </w:rPr>
        <w:t>Whether to define synchronization raster for SL-U is up to RAN1’s conclusion</w:t>
      </w:r>
      <w:r>
        <w:rPr>
          <w:b/>
          <w:i/>
          <w:lang w:val="en-US"/>
        </w:rPr>
        <w:t xml:space="preserve"> based on </w:t>
      </w:r>
      <w:r>
        <w:rPr>
          <w:rFonts w:hint="eastAsia"/>
          <w:b/>
          <w:i/>
          <w:lang w:val="en-US"/>
        </w:rPr>
        <w:t>S-SSB</w:t>
      </w:r>
      <w:r>
        <w:rPr>
          <w:b/>
          <w:i/>
          <w:lang w:val="en-US"/>
        </w:rPr>
        <w:t xml:space="preserve"> design in Rel-18</w:t>
      </w:r>
      <w:r w:rsidRPr="006A25D8">
        <w:rPr>
          <w:b/>
          <w:i/>
          <w:lang w:val="en-US"/>
        </w:rPr>
        <w:t xml:space="preserve">. </w:t>
      </w:r>
    </w:p>
    <w:p w14:paraId="7B7B2520" w14:textId="031B1EA3" w:rsidR="00F65D5E" w:rsidRDefault="000B1250" w:rsidP="000B1250">
      <w:pPr>
        <w:snapToGrid w:val="0"/>
        <w:spacing w:after="0"/>
        <w:jc w:val="both"/>
        <w:rPr>
          <w:b/>
          <w:i/>
          <w:lang w:val="en-US"/>
        </w:rPr>
      </w:pPr>
      <w:r w:rsidRPr="00870E11">
        <w:rPr>
          <w:b/>
          <w:i/>
          <w:lang w:val="en-US"/>
        </w:rPr>
        <w:t>Proposal</w:t>
      </w:r>
      <w:r>
        <w:rPr>
          <w:b/>
          <w:i/>
          <w:lang w:val="en-US"/>
        </w:rPr>
        <w:t xml:space="preserve"> 4</w:t>
      </w:r>
      <w:r w:rsidRPr="00870E11">
        <w:rPr>
          <w:b/>
          <w:i/>
          <w:lang w:val="en-US"/>
        </w:rPr>
        <w:t>:</w:t>
      </w:r>
      <w:r>
        <w:rPr>
          <w:b/>
          <w:i/>
          <w:lang w:val="en-US"/>
        </w:rPr>
        <w:t xml:space="preserve"> The requirements on wideband operation defined in Rel-16 can be reused in Rel-18.</w:t>
      </w:r>
    </w:p>
    <w:p w14:paraId="39FFE1BA" w14:textId="77777777" w:rsidR="000B1250" w:rsidRPr="00957FBA" w:rsidRDefault="000B1250" w:rsidP="000B1250">
      <w:pPr>
        <w:snapToGrid w:val="0"/>
        <w:spacing w:after="0"/>
        <w:jc w:val="both"/>
        <w:rPr>
          <w:b/>
          <w:i/>
          <w:lang w:val="en-US"/>
        </w:rPr>
      </w:pPr>
      <w:r w:rsidRPr="00957FBA">
        <w:rPr>
          <w:b/>
          <w:i/>
          <w:lang w:val="en-US"/>
        </w:rPr>
        <w:t>Proposal</w:t>
      </w:r>
      <w:r>
        <w:rPr>
          <w:b/>
          <w:i/>
          <w:lang w:val="en-US"/>
        </w:rPr>
        <w:t xml:space="preserve"> 5</w:t>
      </w:r>
      <w:r w:rsidRPr="00957FBA">
        <w:rPr>
          <w:b/>
          <w:i/>
          <w:lang w:val="en-US"/>
        </w:rPr>
        <w:t xml:space="preserve">: Power class 5 should be considered firstly for the </w:t>
      </w:r>
      <w:proofErr w:type="spellStart"/>
      <w:r w:rsidRPr="00957FBA">
        <w:rPr>
          <w:b/>
          <w:i/>
          <w:lang w:val="en-US"/>
        </w:rPr>
        <w:t>sidelink</w:t>
      </w:r>
      <w:proofErr w:type="spellEnd"/>
      <w:r w:rsidRPr="00957FBA">
        <w:rPr>
          <w:b/>
          <w:i/>
          <w:lang w:val="en-US"/>
        </w:rPr>
        <w:t xml:space="preserve"> operation in unlicensed spectrum.</w:t>
      </w:r>
    </w:p>
    <w:p w14:paraId="1973A0A5" w14:textId="77777777" w:rsidR="00B22DA6" w:rsidRDefault="00B22DA6" w:rsidP="0037575E">
      <w:pPr>
        <w:pStyle w:val="1"/>
        <w:numPr>
          <w:ilvl w:val="0"/>
          <w:numId w:val="0"/>
        </w:numPr>
        <w:jc w:val="both"/>
        <w:rPr>
          <w:rFonts w:eastAsia="宋体"/>
          <w:lang w:eastAsia="zh-CN"/>
        </w:rPr>
      </w:pPr>
      <w:r>
        <w:t>References</w:t>
      </w:r>
    </w:p>
    <w:p w14:paraId="630BD405" w14:textId="77777777" w:rsidR="00FB441C" w:rsidRDefault="0035262B" w:rsidP="00FB441C">
      <w:pPr>
        <w:snapToGrid w:val="0"/>
        <w:spacing w:after="0"/>
        <w:jc w:val="both"/>
        <w:rPr>
          <w:sz w:val="20"/>
        </w:rPr>
      </w:pPr>
      <w:r w:rsidRPr="00A530D3">
        <w:rPr>
          <w:rFonts w:hint="eastAsia"/>
          <w:sz w:val="20"/>
        </w:rPr>
        <w:t>[1]</w:t>
      </w:r>
      <w:r w:rsidR="005369EE" w:rsidRPr="00A530D3">
        <w:rPr>
          <w:sz w:val="20"/>
        </w:rPr>
        <w:t xml:space="preserve"> </w:t>
      </w:r>
      <w:r w:rsidR="00FB441C" w:rsidRPr="00FB441C">
        <w:rPr>
          <w:sz w:val="20"/>
        </w:rPr>
        <w:t xml:space="preserve">RP-230077 WID revision: NR </w:t>
      </w:r>
      <w:proofErr w:type="spellStart"/>
      <w:r w:rsidR="00FB441C" w:rsidRPr="00FB441C">
        <w:rPr>
          <w:sz w:val="20"/>
        </w:rPr>
        <w:t>sidelink</w:t>
      </w:r>
      <w:proofErr w:type="spellEnd"/>
      <w:r w:rsidR="00FB441C" w:rsidRPr="00FB441C">
        <w:rPr>
          <w:sz w:val="20"/>
        </w:rPr>
        <w:t xml:space="preserve"> evolution, OPPO, TSG RAN Meeting #99-e, March. 20-23, 2023</w:t>
      </w:r>
    </w:p>
    <w:p w14:paraId="5A235D24" w14:textId="1F636A2A" w:rsidR="00324383" w:rsidRPr="00A530D3" w:rsidRDefault="00324383" w:rsidP="00FB441C">
      <w:pPr>
        <w:snapToGrid w:val="0"/>
        <w:spacing w:after="0"/>
        <w:jc w:val="both"/>
        <w:rPr>
          <w:sz w:val="20"/>
          <w:lang w:eastAsia="ja-JP"/>
        </w:rPr>
      </w:pPr>
      <w:r w:rsidRPr="00A530D3">
        <w:rPr>
          <w:sz w:val="20"/>
          <w:lang w:eastAsia="ja-JP"/>
        </w:rPr>
        <w:t xml:space="preserve">[2] R1-2203907, </w:t>
      </w:r>
      <w:proofErr w:type="gramStart"/>
      <w:r w:rsidRPr="00A530D3">
        <w:rPr>
          <w:sz w:val="20"/>
          <w:lang w:eastAsia="ja-JP"/>
        </w:rPr>
        <w:t>On</w:t>
      </w:r>
      <w:proofErr w:type="gramEnd"/>
      <w:r w:rsidRPr="00A530D3">
        <w:rPr>
          <w:sz w:val="20"/>
          <w:lang w:eastAsia="ja-JP"/>
        </w:rPr>
        <w:t xml:space="preserve"> physical channel design framework for </w:t>
      </w:r>
      <w:proofErr w:type="spellStart"/>
      <w:r w:rsidRPr="00A530D3">
        <w:rPr>
          <w:sz w:val="20"/>
          <w:lang w:eastAsia="ja-JP"/>
        </w:rPr>
        <w:t>sidelink</w:t>
      </w:r>
      <w:proofErr w:type="spellEnd"/>
      <w:r w:rsidRPr="00A530D3">
        <w:rPr>
          <w:sz w:val="20"/>
          <w:lang w:eastAsia="ja-JP"/>
        </w:rPr>
        <w:t xml:space="preserve"> on FR1 unlicensed spectrum, Samsung, 3GPP TSG RAN WG1 #109-e, May 9th – 20th, 2022</w:t>
      </w:r>
    </w:p>
    <w:p w14:paraId="7EE3D162" w14:textId="77777777" w:rsidR="004E5F95" w:rsidRDefault="004E5F95" w:rsidP="0037575E">
      <w:pPr>
        <w:jc w:val="both"/>
        <w:rPr>
          <w:rFonts w:eastAsia="MS Mincho"/>
          <w:lang w:eastAsia="ja-JP"/>
        </w:rPr>
      </w:pPr>
    </w:p>
    <w:sectPr w:rsidR="004E5F95"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41542" w14:textId="77777777" w:rsidR="00C2064B" w:rsidRDefault="00C2064B" w:rsidP="0052762B">
      <w:r>
        <w:separator/>
      </w:r>
    </w:p>
  </w:endnote>
  <w:endnote w:type="continuationSeparator" w:id="0">
    <w:p w14:paraId="6C171CE2" w14:textId="77777777" w:rsidR="00C2064B" w:rsidRDefault="00C2064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DA7E1C" w:rsidRDefault="00DA7E1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CC716" w14:textId="77777777" w:rsidR="00C2064B" w:rsidRDefault="00C2064B" w:rsidP="0052762B">
      <w:r>
        <w:separator/>
      </w:r>
    </w:p>
  </w:footnote>
  <w:footnote w:type="continuationSeparator" w:id="0">
    <w:p w14:paraId="191C9779" w14:textId="77777777" w:rsidR="00C2064B" w:rsidRDefault="00C2064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C6A07392"/>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3232"/>
        </w:tabs>
        <w:ind w:left="3062"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GB"/>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080F32"/>
    <w:multiLevelType w:val="hybridMultilevel"/>
    <w:tmpl w:val="504E353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5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1"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34"/>
  </w:num>
  <w:num w:numId="3">
    <w:abstractNumId w:val="41"/>
  </w:num>
  <w:num w:numId="4">
    <w:abstractNumId w:val="60"/>
  </w:num>
  <w:num w:numId="5">
    <w:abstractNumId w:val="1"/>
  </w:num>
  <w:num w:numId="6">
    <w:abstractNumId w:val="59"/>
  </w:num>
  <w:num w:numId="7">
    <w:abstractNumId w:val="28"/>
  </w:num>
  <w:num w:numId="8">
    <w:abstractNumId w:val="48"/>
  </w:num>
  <w:num w:numId="9">
    <w:abstractNumId w:val="63"/>
  </w:num>
  <w:num w:numId="10">
    <w:abstractNumId w:val="19"/>
  </w:num>
  <w:num w:numId="11">
    <w:abstractNumId w:val="13"/>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6"/>
  </w:num>
  <w:num w:numId="16">
    <w:abstractNumId w:val="13"/>
  </w:num>
  <w:num w:numId="17">
    <w:abstractNumId w:val="15"/>
  </w:num>
  <w:num w:numId="18">
    <w:abstractNumId w:val="31"/>
  </w:num>
  <w:num w:numId="19">
    <w:abstractNumId w:val="40"/>
  </w:num>
  <w:num w:numId="20">
    <w:abstractNumId w:val="38"/>
  </w:num>
  <w:num w:numId="21">
    <w:abstractNumId w:val="24"/>
  </w:num>
  <w:num w:numId="22">
    <w:abstractNumId w:val="9"/>
  </w:num>
  <w:num w:numId="23">
    <w:abstractNumId w:val="36"/>
  </w:num>
  <w:num w:numId="24">
    <w:abstractNumId w:val="58"/>
  </w:num>
  <w:num w:numId="25">
    <w:abstractNumId w:val="13"/>
  </w:num>
  <w:num w:numId="26">
    <w:abstractNumId w:val="57"/>
  </w:num>
  <w:num w:numId="27">
    <w:abstractNumId w:val="53"/>
  </w:num>
  <w:num w:numId="28">
    <w:abstractNumId w:val="29"/>
  </w:num>
  <w:num w:numId="29">
    <w:abstractNumId w:val="62"/>
  </w:num>
  <w:num w:numId="30">
    <w:abstractNumId w:val="42"/>
  </w:num>
  <w:num w:numId="31">
    <w:abstractNumId w:val="27"/>
  </w:num>
  <w:num w:numId="32">
    <w:abstractNumId w:val="49"/>
  </w:num>
  <w:num w:numId="33">
    <w:abstractNumId w:val="11"/>
  </w:num>
  <w:num w:numId="34">
    <w:abstractNumId w:val="14"/>
  </w:num>
  <w:num w:numId="35">
    <w:abstractNumId w:val="51"/>
  </w:num>
  <w:num w:numId="36">
    <w:abstractNumId w:val="30"/>
  </w:num>
  <w:num w:numId="37">
    <w:abstractNumId w:val="12"/>
  </w:num>
  <w:num w:numId="38">
    <w:abstractNumId w:val="45"/>
  </w:num>
  <w:num w:numId="39">
    <w:abstractNumId w:val="5"/>
  </w:num>
  <w:num w:numId="40">
    <w:abstractNumId w:val="39"/>
  </w:num>
  <w:num w:numId="41">
    <w:abstractNumId w:val="25"/>
  </w:num>
  <w:num w:numId="42">
    <w:abstractNumId w:val="21"/>
  </w:num>
  <w:num w:numId="43">
    <w:abstractNumId w:val="32"/>
  </w:num>
  <w:num w:numId="44">
    <w:abstractNumId w:val="52"/>
  </w:num>
  <w:num w:numId="45">
    <w:abstractNumId w:val="3"/>
  </w:num>
  <w:num w:numId="46">
    <w:abstractNumId w:val="44"/>
  </w:num>
  <w:num w:numId="47">
    <w:abstractNumId w:val="54"/>
  </w:num>
  <w:num w:numId="48">
    <w:abstractNumId w:val="17"/>
  </w:num>
  <w:num w:numId="49">
    <w:abstractNumId w:val="13"/>
  </w:num>
  <w:num w:numId="50">
    <w:abstractNumId w:val="13"/>
  </w:num>
  <w:num w:numId="51">
    <w:abstractNumId w:val="56"/>
  </w:num>
  <w:num w:numId="52">
    <w:abstractNumId w:val="47"/>
  </w:num>
  <w:num w:numId="53">
    <w:abstractNumId w:val="33"/>
  </w:num>
  <w:num w:numId="54">
    <w:abstractNumId w:val="50"/>
  </w:num>
  <w:num w:numId="55">
    <w:abstractNumId w:val="18"/>
  </w:num>
  <w:num w:numId="56">
    <w:abstractNumId w:val="22"/>
  </w:num>
  <w:num w:numId="57">
    <w:abstractNumId w:val="55"/>
  </w:num>
  <w:num w:numId="58">
    <w:abstractNumId w:val="35"/>
  </w:num>
  <w:num w:numId="59">
    <w:abstractNumId w:val="6"/>
  </w:num>
  <w:num w:numId="60">
    <w:abstractNumId w:val="37"/>
  </w:num>
  <w:num w:numId="61">
    <w:abstractNumId w:val="10"/>
  </w:num>
  <w:num w:numId="62">
    <w:abstractNumId w:val="23"/>
  </w:num>
  <w:num w:numId="63">
    <w:abstractNumId w:val="46"/>
  </w:num>
  <w:num w:numId="64">
    <w:abstractNumId w:val="4"/>
  </w:num>
  <w:num w:numId="65">
    <w:abstractNumId w:val="43"/>
  </w:num>
  <w:num w:numId="66">
    <w:abstractNumId w:val="7"/>
  </w:num>
  <w:num w:numId="67">
    <w:abstractNumId w:val="61"/>
  </w:num>
  <w:num w:numId="68">
    <w:abstractNumId w:val="26"/>
  </w:num>
  <w:num w:numId="69">
    <w:abstractNumId w:val="2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947"/>
    <w:rsid w:val="000A706F"/>
    <w:rsid w:val="000A7819"/>
    <w:rsid w:val="000A7B11"/>
    <w:rsid w:val="000A7C07"/>
    <w:rsid w:val="000B018D"/>
    <w:rsid w:val="000B0854"/>
    <w:rsid w:val="000B0AE6"/>
    <w:rsid w:val="000B0BA7"/>
    <w:rsid w:val="000B1250"/>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69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D1D"/>
    <w:rsid w:val="001E028D"/>
    <w:rsid w:val="001E0399"/>
    <w:rsid w:val="001E07FE"/>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050"/>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6C66"/>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D1B"/>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6D7"/>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3DB0"/>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B6"/>
    <w:rsid w:val="007245D5"/>
    <w:rsid w:val="007246E8"/>
    <w:rsid w:val="00724826"/>
    <w:rsid w:val="00724A11"/>
    <w:rsid w:val="00724D7B"/>
    <w:rsid w:val="007253BB"/>
    <w:rsid w:val="0072555F"/>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3CA"/>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866"/>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64B"/>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96F"/>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A4F"/>
    <w:rsid w:val="00CE7BE0"/>
    <w:rsid w:val="00CF0366"/>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A7E1C"/>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6831"/>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5E62"/>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441C"/>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1250"/>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9867C-9A9D-4D15-A12F-CBC55BD82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3</Pages>
  <Words>847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11</cp:revision>
  <cp:lastPrinted>2010-01-07T02:23:00Z</cp:lastPrinted>
  <dcterms:created xsi:type="dcterms:W3CDTF">2023-04-06T15:06:00Z</dcterms:created>
  <dcterms:modified xsi:type="dcterms:W3CDTF">2023-04-10T14:15:00Z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(3)F7OMEwCOp90zCHiHyaDCc0NfrFfb3Ak2rUCZsQew4Ng/751rtVjHbzI2J09ZMRk64R9+0DPI
xDsKpVIygQUFnRLYPGIrwPt+wCQJQvRj51K15NXvazbE1M/lAwZi5aBHUQXEWrh3eA6vFfOJ
J3rZl/fW+uI8MtCRl0rUeFYwyiMbkzGvmpKawOAPkIjpsacjPUwo33ll12IjmMpRYpXdhQpY
3eVfeH9hDY3G6Sk4u8</vt:lpwstr>
  </property>
  <property fmtid="{D5CDD505-2E9C-101B-9397-08002B2CF9AE}" pid="15" name="_2015_ms_pID_725343_00">
    <vt:lpwstr>_2015_ms_pID_725343</vt:lpwstr>
  </property>
  <property fmtid="{D5CDD505-2E9C-101B-9397-08002B2CF9AE}" pid="16" name="_2015_ms_pID_7253431">
    <vt:lpwstr>EQqY3hAnIfu2cOgTdAtkcBICoxbsM6sJGRcLFAiRmcwYKaXMn4bOMT
+XMsgSHWvbLWsOW5b7fITQy1uLVH9xX/DIf8DRl6yA50ImCpWleF/VAo01n0bmD5eRI0RQoY
dmsHSQICut3dMC61MlKDqIFcMj3OR2AosZbh0t39MMW20qG0rb4Wh+nzHS8/sRMdxVvMpZBS
o14tWzhq5Xi1E3kEoC5iQbPpWvP/du8oNhkQ</vt:lpwstr>
  </property>
  <property fmtid="{D5CDD505-2E9C-101B-9397-08002B2CF9AE}" pid="17" name="_2015_ms_pID_7253431_00">
    <vt:lpwstr>_2015_ms_pID_7253431</vt:lpwstr>
  </property>
  <property fmtid="{D5CDD505-2E9C-101B-9397-08002B2CF9AE}" pid="18" name="_2015_ms_pID_7253432">
    <vt:lpwst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1681133753</vt:lpwstr>
  </property>
</Properties>
</file>